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80" w:after="120"/>
        <w:jc w:val="center"/>
      </w:pPr>
      <w:r>
        <w:rPr>
          <w:rFonts w:ascii="Calibri" w:cs="Calibri" w:eastAsia="Calibri" w:hAnsi="Calibri"/>
          <w:b/>
          <w:bCs/>
          <w:color w:val="1B2A4A"/>
          <w:sz w:val="36"/>
          <w:szCs w:val="36"/>
        </w:rPr>
        <w:t xml:space="preserve">Feel to Know: Using Emotion to Measure Real Understanding</w:t>
      </w:r>
    </w:p>
    <w:p>
      <w:pPr>
        <w:spacing w:before="0" w:after="80"/>
        <w:jc w:val="center"/>
      </w:pPr>
      <w:r>
        <w:rPr>
          <w:rFonts w:ascii="Calibri" w:cs="Calibri" w:eastAsia="Calibri" w:hAnsi="Calibri"/>
          <w:b/>
          <w:bCs/>
          <w:sz w:val="24"/>
          <w:szCs w:val="24"/>
        </w:rPr>
        <w:t xml:space="preserve">Jonathan Prescott</w:t>
      </w:r>
    </w:p>
    <w:p>
      <w:pPr>
        <w:spacing w:before="0" w:after="80"/>
        <w:jc w:val="center"/>
      </w:pPr>
      <w:r>
        <w:rPr>
          <w:rFonts w:ascii="Calibri" w:cs="Calibri" w:eastAsia="Calibri" w:hAnsi="Calibri"/>
          <w:i/>
          <w:iCs/>
          <w:sz w:val="22"/>
          <w:szCs w:val="22"/>
        </w:rPr>
        <w:t xml:space="preserve">Cavefish AI, United Kingdom</w:t>
      </w:r>
    </w:p>
    <w:p>
      <w:pPr>
        <w:spacing w:before="0" w:after="400"/>
        <w:jc w:val="center"/>
      </w:pPr>
      <w:r>
        <w:rPr>
          <w:rFonts w:ascii="Calibri" w:cs="Calibri" w:eastAsia="Calibri" w:hAnsi="Calibri"/>
          <w:color w:val="64748B"/>
          <w:sz w:val="20"/>
          <w:szCs w:val="20"/>
        </w:rPr>
        <w:t xml:space="preserve">Presented at ITEC 2026, ExCeL London, April 2026</w:t>
      </w:r>
    </w:p>
    <w:p>
      <w:pPr>
        <w:pStyle w:val="Heading1"/>
        <w:spacing w:before="320" w:after="160"/>
      </w:pPr>
      <w:r>
        <w:rPr>
          <w:rFonts w:ascii="Calibri" w:cs="Calibri" w:eastAsia="Calibri" w:hAnsi="Calibri"/>
          <w:b/>
          <w:bCs/>
          <w:color w:val="1B2A4A"/>
          <w:sz w:val="28"/>
          <w:szCs w:val="28"/>
        </w:rPr>
        <w:t xml:space="preserve">Abstract</w:t>
      </w:r>
    </w:p>
    <w:p>
      <w:pPr>
        <w:spacing w:before="0" w:after="160" w:line="276"/>
        <w:jc w:val="both"/>
      </w:pPr>
      <w:r>
        <w:rPr>
          <w:rFonts w:ascii="Calibri" w:cs="Calibri" w:eastAsia="Calibri" w:hAnsi="Calibri"/>
          <w:sz w:val="22"/>
          <w:szCs w:val="22"/>
        </w:rPr>
        <w:t xml:space="preserve">Traditional defence training assessment relies on post-training quizzes and self-reported comprehension, which fail to capture real-time understanding or identify struggling learners during critical safety instruction. This paper presents EchoDepth, a multimodal AI platform that measures trainee comprehension through continuous emotional analysis during training delivery. By detecting facial expressions via Action Units (AU) in contextual combinations, the system identifies confusion, confidence, hesitation and cognitive stress in real time, enabling dynamic content adjustment and verified attention monitoring. Initial deployment in skills training scenarios suggests that emotional indicators provide earlier and more accurate signals of comprehension gaps than traditional assessment methods, while simultaneously creating enriched audit records for compliance purposes. This approach addresses persistent challenges in current training: the difficulty of verifying genuine engagement during mandatory safety briefings, the absence of real-time comprehension assessment, and the gap between documented completion and demonstrated understanding.</w:t>
      </w:r>
    </w:p>
    <w:p>
      <w:pPr>
        <w:pStyle w:val="Heading1"/>
        <w:spacing w:before="320" w:after="160"/>
      </w:pPr>
      <w:r>
        <w:rPr>
          <w:rFonts w:ascii="Calibri" w:cs="Calibri" w:eastAsia="Calibri" w:hAnsi="Calibri"/>
          <w:b/>
          <w:bCs/>
          <w:color w:val="1B2A4A"/>
          <w:sz w:val="28"/>
          <w:szCs w:val="28"/>
        </w:rPr>
        <w:t xml:space="preserve">1. Introduction</w:t>
      </w:r>
    </w:p>
    <w:p>
      <w:pPr>
        <w:spacing w:before="0" w:after="160" w:line="276"/>
        <w:jc w:val="both"/>
      </w:pPr>
      <w:r>
        <w:rPr>
          <w:rFonts w:ascii="Calibri" w:cs="Calibri" w:eastAsia="Calibri" w:hAnsi="Calibri"/>
          <w:sz w:val="22"/>
          <w:szCs w:val="22"/>
        </w:rPr>
        <w:t xml:space="preserve">Defence training faces a fundamental challenge in the gap between delivery and understanding: how to ensure personnel genuinely comprehend critical procedures rather than merely complete required modules. Current digital training systems record completion time and quiz scores, but cannot verify whether trainees are actively engaged, multitasking or struggling with core concepts until formal assessment occurs — often too late for meaningful intervention.</w:t>
      </w:r>
    </w:p>
    <w:p>
      <w:pPr>
        <w:spacing w:before="0" w:after="160" w:line="276"/>
        <w:jc w:val="both"/>
      </w:pPr>
      <w:r>
        <w:rPr>
          <w:rFonts w:ascii="Calibri" w:cs="Calibri" w:eastAsia="Calibri" w:hAnsi="Calibri"/>
          <w:sz w:val="22"/>
          <w:szCs w:val="22"/>
        </w:rPr>
        <w:t xml:space="preserve">Defence training has made significant advances in this area. The Defence Systems Approach to Training (DSAT) provides a rigorous assessment framework incorporating formal examination, ongoing course assessment and multiple validation modalities. The Defence Learning Environment (DLE) enables digital learning journeys with completion tracking and learner analytics. Adaptive learning platforms are increasingly deployed to personalise content sequencing based on performance data. These represent a sophisticated and evolving ecosystem.</w:t>
      </w:r>
    </w:p>
    <w:p>
      <w:pPr>
        <w:spacing w:before="0" w:after="160" w:line="276"/>
        <w:jc w:val="both"/>
      </w:pPr>
      <w:r>
        <w:rPr>
          <w:rFonts w:ascii="Calibri" w:cs="Calibri" w:eastAsia="Calibri" w:hAnsi="Calibri"/>
          <w:sz w:val="22"/>
          <w:szCs w:val="22"/>
        </w:rPr>
        <w:t xml:space="preserve">What this ecosystem does not yet capture is the real-time emotional signal — the moment-by-moment cognitive response visible on the face of a learner as they encounter new material. Emotion and cognition are inseparable: confusion, hesitation and cognitive overload manifest in facial expression before they surface in any quiz or self-report. This research introduces an emotion-based assessment approach that treats these signals as real-time indicators of comprehension, designed to complement and enrich existing defence assessment frameworks rather than replace them.</w:t>
      </w:r>
    </w:p>
    <w:p>
      <w:pPr>
        <w:pStyle w:val="Heading1"/>
        <w:spacing w:before="320" w:after="160"/>
      </w:pPr>
      <w:r>
        <w:rPr>
          <w:rFonts w:ascii="Calibri" w:cs="Calibri" w:eastAsia="Calibri" w:hAnsi="Calibri"/>
          <w:b/>
          <w:bCs/>
          <w:color w:val="1B2A4A"/>
          <w:sz w:val="28"/>
          <w:szCs w:val="28"/>
        </w:rPr>
        <w:t xml:space="preserve">2. Persistent Challenges in Assessment</w:t>
      </w:r>
    </w:p>
    <w:p>
      <w:pPr>
        <w:spacing w:before="0" w:after="160" w:line="276"/>
        <w:jc w:val="both"/>
      </w:pPr>
      <w:r>
        <w:rPr>
          <w:rFonts w:ascii="Calibri" w:cs="Calibri" w:eastAsia="Calibri" w:hAnsi="Calibri"/>
          <w:sz w:val="22"/>
          <w:szCs w:val="22"/>
        </w:rPr>
        <w:t xml:space="preserve">While defence training systems continue to evolve, three challenges remain where emotional intelligence could offer meaningful improvement:</w:t>
      </w:r>
    </w:p>
    <w:p>
      <w:pPr>
        <w:pStyle w:val="ListParagraph"/>
        <w:numPr>
          <w:ilvl w:val="0"/>
          <w:numId w:val="2"/>
        </w:numPr>
        <w:spacing w:before="60" w:after="60" w:line="264"/>
      </w:pPr>
      <w:r>
        <w:rPr>
          <w:rFonts w:ascii="Calibri" w:cs="Calibri" w:eastAsia="Calibri" w:hAnsi="Calibri"/>
          <w:b/>
          <w:bCs/>
          <w:sz w:val="22"/>
          <w:szCs w:val="22"/>
        </w:rPr>
        <w:t xml:space="preserve">Unverified engagement in mandatory compliance training: </w:t>
      </w:r>
      <w:r>
        <w:rPr>
          <w:rFonts w:ascii="Calibri" w:cs="Calibri" w:eastAsia="Calibri" w:hAnsi="Calibri"/>
          <w:sz w:val="22"/>
          <w:szCs w:val="22"/>
        </w:rPr>
        <w:t xml:space="preserve">For mandatory safety briefings and compliance-critical instruction, personnel can complete modules while multitasking, creating audit records that confirm activity without verifying comprehension. This is distinct from career and trade training, where ongoing instructor contact and practical assessment provide stronger verification mechanisms.</w:t>
      </w:r>
    </w:p>
    <w:p>
      <w:pPr>
        <w:pStyle w:val="ListParagraph"/>
        <w:numPr>
          <w:ilvl w:val="0"/>
          <w:numId w:val="2"/>
        </w:numPr>
        <w:spacing w:before="60" w:after="60" w:line="264"/>
      </w:pPr>
      <w:r>
        <w:rPr>
          <w:rFonts w:ascii="Calibri" w:cs="Calibri" w:eastAsia="Calibri" w:hAnsi="Calibri"/>
          <w:b/>
          <w:bCs/>
          <w:sz w:val="22"/>
          <w:szCs w:val="22"/>
        </w:rPr>
        <w:t xml:space="preserve">Delayed intervention: </w:t>
      </w:r>
      <w:r>
        <w:rPr>
          <w:rFonts w:ascii="Calibri" w:cs="Calibri" w:eastAsia="Calibri" w:hAnsi="Calibri"/>
          <w:sz w:val="22"/>
          <w:szCs w:val="22"/>
        </w:rPr>
        <w:t xml:space="preserve">Assessment identifies comprehension gaps after instruction ends. A learner can carry an incomplete or inaccurate mental model through an entire module before any measure flags the issue. Targeted, timely intervention — acting on the learning loop while it is still open — is more effective than retrospective remediation.</w:t>
      </w:r>
    </w:p>
    <w:p>
      <w:pPr>
        <w:pStyle w:val="ListParagraph"/>
        <w:numPr>
          <w:ilvl w:val="0"/>
          <w:numId w:val="2"/>
        </w:numPr>
        <w:spacing w:before="60" w:after="60" w:line="264"/>
      </w:pPr>
      <w:r>
        <w:rPr>
          <w:rFonts w:ascii="Calibri" w:cs="Calibri" w:eastAsia="Calibri" w:hAnsi="Calibri"/>
          <w:b/>
          <w:bCs/>
          <w:sz w:val="22"/>
          <w:szCs w:val="22"/>
        </w:rPr>
        <w:t xml:space="preserve">Incomplete evidence trails for audit compliance: </w:t>
      </w:r>
      <w:r>
        <w:rPr>
          <w:rFonts w:ascii="Calibri" w:cs="Calibri" w:eastAsia="Calibri" w:hAnsi="Calibri"/>
          <w:sz w:val="22"/>
          <w:szCs w:val="22"/>
        </w:rPr>
        <w:t xml:space="preserve">Completion certificates confirm attendance, not engagement. For training with safety, operational or legal implications, richer evidence of genuine understanding — rather than documented completion alone — strengthens audit compliance.</w:t>
      </w:r>
    </w:p>
    <w:p>
      <w:pPr>
        <w:pStyle w:val="ListParagraph"/>
        <w:numPr>
          <w:ilvl w:val="0"/>
          <w:numId w:val="2"/>
        </w:numPr>
        <w:spacing w:before="60" w:after="160" w:line="264"/>
      </w:pPr>
      <w:r>
        <w:rPr>
          <w:rFonts w:ascii="Calibri" w:cs="Calibri" w:eastAsia="Calibri" w:hAnsi="Calibri"/>
          <w:b/>
          <w:bCs/>
          <w:sz w:val="22"/>
          <w:szCs w:val="22"/>
        </w:rPr>
        <w:t xml:space="preserve">Slow content improvement cycles: </w:t>
      </w:r>
      <w:r>
        <w:rPr>
          <w:rFonts w:ascii="Calibri" w:cs="Calibri" w:eastAsia="Calibri" w:hAnsi="Calibri"/>
          <w:sz w:val="22"/>
          <w:szCs w:val="22"/>
        </w:rPr>
        <w:t xml:space="preserve">Disengagement and failure to hold attention are rarely captured systematically, creating a slow feedback loop between poor content quality and course revision. This applies particularly to materials that have not been refreshed to reflect modern learner expectations.</w:t>
      </w:r>
    </w:p>
    <w:p>
      <w:pPr>
        <w:pStyle w:val="Heading1"/>
        <w:spacing w:before="320" w:after="160"/>
      </w:pPr>
      <w:r>
        <w:rPr>
          <w:rFonts w:ascii="Calibri" w:cs="Calibri" w:eastAsia="Calibri" w:hAnsi="Calibri"/>
          <w:b/>
          <w:bCs/>
          <w:color w:val="1B2A4A"/>
          <w:sz w:val="28"/>
          <w:szCs w:val="28"/>
        </w:rPr>
        <w:t xml:space="preserve">3. Methodology</w:t>
      </w:r>
    </w:p>
    <w:p>
      <w:pPr>
        <w:pStyle w:val="Heading2"/>
        <w:spacing w:before="240" w:after="120"/>
      </w:pPr>
      <w:r>
        <w:rPr>
          <w:rFonts w:ascii="Calibri" w:cs="Calibri" w:eastAsia="Calibri" w:hAnsi="Calibri"/>
          <w:b/>
          <w:bCs/>
          <w:color w:val="2E5F8A"/>
          <w:sz w:val="24"/>
          <w:szCs w:val="24"/>
        </w:rPr>
        <w:t xml:space="preserve">3.1 EchoDepth Platform Architecture</w:t>
      </w:r>
    </w:p>
    <w:p>
      <w:pPr>
        <w:spacing w:before="0" w:after="160" w:line="276"/>
        <w:jc w:val="both"/>
      </w:pPr>
      <w:r>
        <w:rPr>
          <w:rFonts w:ascii="Calibri" w:cs="Calibri" w:eastAsia="Calibri" w:hAnsi="Calibri"/>
          <w:sz w:val="22"/>
          <w:szCs w:val="22"/>
        </w:rPr>
        <w:t xml:space="preserve">EchoDepth is a multimodal AI platform that processes four simultaneous input channels: text, images, voice and video. For skills training delivery, the system implements a camera-based assessment module that analyses facial expressions during training consumption. The platform operates through three integrated components:</w:t>
      </w:r>
    </w:p>
    <w:p>
      <w:pPr>
        <w:pStyle w:val="ListParagraph"/>
        <w:numPr>
          <w:ilvl w:val="0"/>
          <w:numId w:val="2"/>
        </w:numPr>
        <w:spacing w:before="60" w:after="60" w:line="264"/>
      </w:pPr>
      <w:r>
        <w:rPr>
          <w:rFonts w:ascii="Calibri" w:cs="Calibri" w:eastAsia="Calibri" w:hAnsi="Calibri"/>
          <w:sz w:val="22"/>
          <w:szCs w:val="22"/>
        </w:rPr>
        <w:t xml:space="preserve">Avatar-based training delivery: instruction presented through an animated instructor interface, ensuring consistent, bias-free delivery across all learners</w:t>
      </w:r>
    </w:p>
    <w:p>
      <w:pPr>
        <w:pStyle w:val="ListParagraph"/>
        <w:numPr>
          <w:ilvl w:val="0"/>
          <w:numId w:val="2"/>
        </w:numPr>
        <w:spacing w:before="60" w:after="60" w:line="264"/>
      </w:pPr>
      <w:r>
        <w:rPr>
          <w:rFonts w:ascii="Calibri" w:cs="Calibri" w:eastAsia="Calibri" w:hAnsi="Calibri"/>
          <w:sz w:val="22"/>
          <w:szCs w:val="22"/>
        </w:rPr>
        <w:t xml:space="preserve">Real-time facial analysis: continuous monitoring of Action Unit (AU) combinations to detect emotional states in context</w:t>
      </w:r>
    </w:p>
    <w:p>
      <w:pPr>
        <w:pStyle w:val="ListParagraph"/>
        <w:numPr>
          <w:ilvl w:val="0"/>
          <w:numId w:val="2"/>
        </w:numPr>
        <w:spacing w:before="60" w:after="60" w:line="264"/>
      </w:pPr>
      <w:r>
        <w:rPr>
          <w:rFonts w:ascii="Calibri" w:cs="Calibri" w:eastAsia="Calibri" w:hAnsi="Calibri"/>
          <w:sz w:val="22"/>
          <w:szCs w:val="22"/>
        </w:rPr>
        <w:t xml:space="preserve">Dynamic content adaptation: automatic adjustment of training pacing, complexity and reinforcement based on detected comprehension signals, with disengagement patterns feeding back as content improvement indicators</w:t>
      </w:r>
    </w:p>
    <w:p>
      <w:pPr>
        <w:pStyle w:val="Heading2"/>
        <w:spacing w:before="240" w:after="120"/>
      </w:pPr>
      <w:r>
        <w:rPr>
          <w:rFonts w:ascii="Calibri" w:cs="Calibri" w:eastAsia="Calibri" w:hAnsi="Calibri"/>
          <w:b/>
          <w:bCs/>
          <w:color w:val="2E5F8A"/>
          <w:sz w:val="24"/>
          <w:szCs w:val="24"/>
        </w:rPr>
        <w:t xml:space="preserve">3.2 Emotional Indicators of Comprehension</w:t>
      </w:r>
    </w:p>
    <w:p>
      <w:pPr>
        <w:spacing w:before="0" w:after="160" w:line="276"/>
        <w:jc w:val="both"/>
      </w:pPr>
      <w:r>
        <w:rPr>
          <w:rFonts w:ascii="Calibri" w:cs="Calibri" w:eastAsia="Calibri" w:hAnsi="Calibri"/>
          <w:sz w:val="22"/>
          <w:szCs w:val="22"/>
        </w:rPr>
        <w:t xml:space="preserve">The system maps combinations of facial Action Units to cognitive states associated with learning. A critical design principle is that no single action unit is assessed in isolation: contextual AU combinations, temporal patterns and behavioural sequences determine the classification. A furrowed brow alone, for instance, is not coded as confusion — it may equally indicate reflective processing or concentration. The system distinguishes these by analysing accompanying signals: processing pauses, head orientation, gaze direction and the duration of the expression cluster.</w:t>
      </w:r>
    </w:p>
    <w:p>
      <w:pPr>
        <w:spacing w:before="0" w:after="160" w:line="276"/>
        <w:jc w:val="both"/>
      </w:pPr>
      <w:r>
        <w:rPr>
          <w:rFonts w:ascii="Calibri" w:cs="Calibri" w:eastAsia="Calibri" w:hAnsi="Calibri"/>
          <w:sz w:val="22"/>
          <w:szCs w:val="22"/>
        </w:rPr>
        <w:t xml:space="preserve">The primary mapped states are:</w:t>
      </w:r>
    </w:p>
    <w:p>
      <w:pPr>
        <w:pStyle w:val="ListParagraph"/>
        <w:numPr>
          <w:ilvl w:val="0"/>
          <w:numId w:val="2"/>
        </w:numPr>
        <w:spacing w:before="60" w:after="60" w:line="264"/>
      </w:pPr>
      <w:r>
        <w:rPr>
          <w:rFonts w:ascii="Calibri" w:cs="Calibri" w:eastAsia="Calibri" w:hAnsi="Calibri"/>
          <w:sz w:val="22"/>
          <w:szCs w:val="22"/>
        </w:rPr>
        <w:t xml:space="preserve">Confusion: AU4+7+17 (brow furrow with lip tension), assessed in combination with head tilt, processing pauses and gaze drift — distinguishing active struggle from reflective thought</w:t>
      </w:r>
    </w:p>
    <w:p>
      <w:pPr>
        <w:pStyle w:val="ListParagraph"/>
        <w:numPr>
          <w:ilvl w:val="0"/>
          <w:numId w:val="2"/>
        </w:numPr>
        <w:spacing w:before="60" w:after="60" w:line="264"/>
      </w:pPr>
      <w:r>
        <w:rPr>
          <w:rFonts w:ascii="Calibri" w:cs="Calibri" w:eastAsia="Calibri" w:hAnsi="Calibri"/>
          <w:sz w:val="22"/>
          <w:szCs w:val="22"/>
        </w:rPr>
        <w:t xml:space="preserve">Confidence: AU6+12 (genuine engagement engagement markers), sustained screen gaze, natural head nods indicating reception and agreement</w:t>
      </w:r>
    </w:p>
    <w:p>
      <w:pPr>
        <w:pStyle w:val="ListParagraph"/>
        <w:numPr>
          <w:ilvl w:val="0"/>
          <w:numId w:val="2"/>
        </w:numPr>
        <w:spacing w:before="60" w:after="60" w:line="264"/>
      </w:pPr>
      <w:r>
        <w:rPr>
          <w:rFonts w:ascii="Calibri" w:cs="Calibri" w:eastAsia="Calibri" w:hAnsi="Calibri"/>
          <w:sz w:val="22"/>
          <w:szCs w:val="22"/>
        </w:rPr>
        <w:t xml:space="preserve">Hesitation: AU1+4+54 (inner brow raise with head movement), indicating doubt before verbalisation — a pre-test signal of uncertainty</w:t>
      </w:r>
    </w:p>
    <w:p>
      <w:pPr>
        <w:pStyle w:val="ListParagraph"/>
        <w:numPr>
          <w:ilvl w:val="0"/>
          <w:numId w:val="2"/>
        </w:numPr>
        <w:spacing w:before="60" w:after="60" w:line="264"/>
      </w:pPr>
      <w:r>
        <w:rPr>
          <w:rFonts w:ascii="Calibri" w:cs="Calibri" w:eastAsia="Calibri" w:hAnsi="Calibri"/>
          <w:sz w:val="22"/>
          <w:szCs w:val="22"/>
        </w:rPr>
        <w:t xml:space="preserve">Cognitive stress: AU7+20+45 (elevated lid tension, lip stretch, accelerated blink rate), signalling overload in advance of disengagement</w:t>
      </w:r>
    </w:p>
    <w:p>
      <w:pPr>
        <w:pStyle w:val="ListParagraph"/>
        <w:numPr>
          <w:ilvl w:val="0"/>
          <w:numId w:val="2"/>
        </w:numPr>
        <w:spacing w:before="60" w:after="60" w:line="264"/>
      </w:pPr>
      <w:r>
        <w:rPr>
          <w:rFonts w:ascii="Calibri" w:cs="Calibri" w:eastAsia="Calibri" w:hAnsi="Calibri"/>
          <w:sz w:val="22"/>
          <w:szCs w:val="22"/>
        </w:rPr>
        <w:t xml:space="preserve">Disengagement: AU43+54 (eyes closing, head turn) — coded as a content improvement signal rather than a learner failure indicator, flagging material that fails to sustain attention</w:t>
      </w:r>
    </w:p>
    <w:p>
      <w:pPr>
        <w:spacing w:before="0" w:after="160" w:line="276"/>
        <w:jc w:val="both"/>
      </w:pPr>
      <w:r>
        <w:rPr>
          <w:rFonts w:ascii="Calibri" w:cs="Calibri" w:eastAsia="Calibri" w:hAnsi="Calibri"/>
          <w:sz w:val="22"/>
          <w:szCs w:val="22"/>
        </w:rPr>
        <w:t xml:space="preserve">This contextual interpretation approach directly addresses a core risk of emotion-based assessment: the possibility that system error or misclassification could influence an individual's audit record or training outcome. AU combination assessment, confidence thresholding and human review requirements (detailed in Section 6) are designed to mitigate this.</w:t>
      </w:r>
    </w:p>
    <w:p>
      <w:pPr>
        <w:pStyle w:val="Heading2"/>
        <w:spacing w:before="240" w:after="120"/>
      </w:pPr>
      <w:r>
        <w:rPr>
          <w:rFonts w:ascii="Calibri" w:cs="Calibri" w:eastAsia="Calibri" w:hAnsi="Calibri"/>
          <w:b/>
          <w:bCs/>
          <w:color w:val="2E5F8A"/>
          <w:sz w:val="24"/>
          <w:szCs w:val="24"/>
        </w:rPr>
        <w:t xml:space="preserve">3.3 Verified Engagement Monitoring</w:t>
      </w:r>
    </w:p>
    <w:p>
      <w:pPr>
        <w:spacing w:before="0" w:after="160" w:line="276"/>
        <w:jc w:val="both"/>
      </w:pPr>
      <w:r>
        <w:rPr>
          <w:rFonts w:ascii="Calibri" w:cs="Calibri" w:eastAsia="Calibri" w:hAnsi="Calibri"/>
          <w:sz w:val="22"/>
          <w:szCs w:val="22"/>
        </w:rPr>
        <w:t xml:space="preserve">For safety-critical and compliance-critical training, the system's ability to verify genuine engagement addresses the core audit gap. By requiring continuous camera presence and monitoring attention patterns in combination with comprehension signals, the platform creates a richer evidence base than completion records alone. This is specifically scoped to mandatory compliance training where verified comprehension carries legal and operational weight; the application to career and trade training warrants separate consideration and operational context.</w:t>
      </w:r>
    </w:p>
    <w:p>
      <w:pPr>
        <w:pStyle w:val="Heading1"/>
        <w:spacing w:before="320" w:after="160"/>
      </w:pPr>
      <w:r>
        <w:rPr>
          <w:rFonts w:ascii="Calibri" w:cs="Calibri" w:eastAsia="Calibri" w:hAnsi="Calibri"/>
          <w:b/>
          <w:bCs/>
          <w:color w:val="1B2A4A"/>
          <w:sz w:val="28"/>
          <w:szCs w:val="28"/>
        </w:rPr>
        <w:t xml:space="preserve">4. Implementation and Case Studies</w:t>
      </w:r>
    </w:p>
    <w:p>
      <w:pPr>
        <w:spacing w:before="0" w:after="160" w:line="276"/>
        <w:jc w:val="both"/>
      </w:pPr>
      <w:r>
        <w:rPr>
          <w:rFonts w:ascii="Calibri" w:cs="Calibri" w:eastAsia="Calibri" w:hAnsi="Calibri"/>
          <w:sz w:val="22"/>
          <w:szCs w:val="22"/>
        </w:rPr>
        <w:t xml:space="preserve">The current implementation encompasses general skills training scenarios and two illustrative deployments that demonstrate the platform's application across different comprehension verification contexts.</w:t>
      </w:r>
    </w:p>
    <w:p>
      <w:pPr>
        <w:pStyle w:val="Heading2"/>
        <w:spacing w:before="240" w:after="120"/>
      </w:pPr>
      <w:r>
        <w:rPr>
          <w:rFonts w:ascii="Calibri" w:cs="Calibri" w:eastAsia="Calibri" w:hAnsi="Calibri"/>
          <w:b/>
          <w:bCs/>
          <w:color w:val="2E5F8A"/>
          <w:sz w:val="24"/>
          <w:szCs w:val="24"/>
        </w:rPr>
        <w:t xml:space="preserve">4.1 General Skills Training Deployment</w:t>
      </w:r>
    </w:p>
    <w:p>
      <w:pPr>
        <w:spacing w:before="0" w:after="160" w:line="276"/>
        <w:jc w:val="both"/>
      </w:pPr>
      <w:r>
        <w:rPr>
          <w:rFonts w:ascii="Calibri" w:cs="Calibri" w:eastAsia="Calibri" w:hAnsi="Calibri"/>
          <w:sz w:val="22"/>
          <w:szCs w:val="22"/>
        </w:rPr>
        <w:t xml:space="preserve">Core deployment follows this workflow:</w:t>
      </w:r>
    </w:p>
    <w:p>
      <w:pPr>
        <w:pStyle w:val="ListParagraph"/>
        <w:numPr>
          <w:ilvl w:val="0"/>
          <w:numId w:val="2"/>
        </w:numPr>
        <w:spacing w:before="60" w:after="60" w:line="264"/>
      </w:pPr>
      <w:r>
        <w:rPr>
          <w:rFonts w:ascii="Calibri" w:cs="Calibri" w:eastAsia="Calibri" w:hAnsi="Calibri"/>
          <w:sz w:val="22"/>
          <w:szCs w:val="22"/>
        </w:rPr>
        <w:t xml:space="preserve">Training session initiation with camera verification</w:t>
      </w:r>
    </w:p>
    <w:p>
      <w:pPr>
        <w:pStyle w:val="ListParagraph"/>
        <w:numPr>
          <w:ilvl w:val="0"/>
          <w:numId w:val="2"/>
        </w:numPr>
        <w:spacing w:before="60" w:after="60" w:line="264"/>
      </w:pPr>
      <w:r>
        <w:rPr>
          <w:rFonts w:ascii="Calibri" w:cs="Calibri" w:eastAsia="Calibri" w:hAnsi="Calibri"/>
          <w:sz w:val="22"/>
          <w:szCs w:val="22"/>
        </w:rPr>
        <w:t xml:space="preserve">Continuous emotional state monitoring during content delivery</w:t>
      </w:r>
    </w:p>
    <w:p>
      <w:pPr>
        <w:pStyle w:val="ListParagraph"/>
        <w:numPr>
          <w:ilvl w:val="0"/>
          <w:numId w:val="2"/>
        </w:numPr>
        <w:spacing w:before="60" w:after="60" w:line="264"/>
      </w:pPr>
      <w:r>
        <w:rPr>
          <w:rFonts w:ascii="Calibri" w:cs="Calibri" w:eastAsia="Calibri" w:hAnsi="Calibri"/>
          <w:sz w:val="22"/>
          <w:szCs w:val="22"/>
        </w:rPr>
        <w:t xml:space="preserve">Real-time content adjustment based on comprehension signals — repeating sections where confusion clusters appear, accelerating through mastered material</w:t>
      </w:r>
    </w:p>
    <w:p>
      <w:pPr>
        <w:pStyle w:val="ListParagraph"/>
        <w:numPr>
          <w:ilvl w:val="0"/>
          <w:numId w:val="2"/>
        </w:numPr>
        <w:spacing w:before="60" w:after="60" w:line="264"/>
      </w:pPr>
      <w:r>
        <w:rPr>
          <w:rFonts w:ascii="Calibri" w:cs="Calibri" w:eastAsia="Calibri" w:hAnsi="Calibri"/>
          <w:sz w:val="22"/>
          <w:szCs w:val="22"/>
        </w:rPr>
        <w:t xml:space="preserve">Disengagement monitoring feeding content improvement flags for course revision</w:t>
      </w:r>
    </w:p>
    <w:p>
      <w:pPr>
        <w:pStyle w:val="ListParagraph"/>
        <w:numPr>
          <w:ilvl w:val="0"/>
          <w:numId w:val="2"/>
        </w:numPr>
        <w:spacing w:before="60" w:after="60" w:line="264"/>
      </w:pPr>
      <w:r>
        <w:rPr>
          <w:rFonts w:ascii="Calibri" w:cs="Calibri" w:eastAsia="Calibri" w:hAnsi="Calibri"/>
          <w:sz w:val="22"/>
          <w:szCs w:val="22"/>
        </w:rPr>
        <w:t xml:space="preserve">Comprehensive session recording providing enriched audit records for compliance purposes</w:t>
      </w:r>
    </w:p>
    <w:p>
      <w:pPr>
        <w:spacing w:before="0" w:after="160" w:line="276"/>
        <w:jc w:val="both"/>
      </w:pPr>
      <w:r>
        <w:rPr>
          <w:rFonts w:ascii="Calibri" w:cs="Calibri" w:eastAsia="Calibri" w:hAnsi="Calibri"/>
          <w:sz w:val="22"/>
          <w:szCs w:val="22"/>
        </w:rPr>
        <w:t xml:space="preserve">All emotional assessment data, attention metrics and content adjustments are logged to create a verifiable training record that documents not just completion, but verified engagement and comprehension throughout the session.</w:t>
      </w:r>
    </w:p>
    <w:p>
      <w:pPr>
        <w:pStyle w:val="Heading2"/>
        <w:spacing w:before="240" w:after="120"/>
      </w:pPr>
      <w:r>
        <w:rPr>
          <w:rFonts w:ascii="Calibri" w:cs="Calibri" w:eastAsia="Calibri" w:hAnsi="Calibri"/>
          <w:b/>
          <w:bCs/>
          <w:color w:val="2E5F8A"/>
          <w:sz w:val="24"/>
          <w:szCs w:val="24"/>
        </w:rPr>
        <w:t xml:space="preserve">4.2 Case Study: HUMX — Attention Intelligence in Avatar-Led Training</w:t>
      </w:r>
    </w:p>
    <w:p>
      <w:pPr>
        <w:spacing w:before="0" w:after="160" w:line="276"/>
        <w:jc w:val="both"/>
      </w:pPr>
      <w:r>
        <w:rPr>
          <w:rFonts w:ascii="Calibri" w:cs="Calibri" w:eastAsia="Calibri" w:hAnsi="Calibri"/>
          <w:sz w:val="22"/>
          <w:szCs w:val="22"/>
        </w:rPr>
        <w:t xml:space="preserve">HUMX deploys EchoDepth-powered avatar instructors alongside camera-based emotional monitoring to assess whether learners are genuinely attending and understanding as content is delivered. The system combines avatar-led delivery with real-time AU analysis to distinguish between a learner who is present and one who is cognitively engaged. The avatar delivery mechanism ensures consistent instruction quality independent of instructor variability, while the emotional monitoring layer provides the comprehension dimension that completion tracking alone cannot supply.</w:t>
      </w:r>
    </w:p>
    <w:p>
      <w:pPr>
        <w:spacing w:before="0" w:after="160" w:line="276"/>
        <w:jc w:val="both"/>
      </w:pPr>
      <w:r>
        <w:rPr>
          <w:rFonts w:ascii="Calibri" w:cs="Calibri" w:eastAsia="Calibri" w:hAnsi="Calibri"/>
          <w:sz w:val="22"/>
          <w:szCs w:val="22"/>
        </w:rPr>
        <w:t xml:space="preserve">Key metrics captured include attention continuity across session duration, comprehension signal strength at key content transitions, and disengagement patterns that inform content redesign. The HUMX deployment demonstrates the scalability of avatar-plus-emotion architecture for mandatory compliance training at volume, where instructor availability is limited and consistency of instruction is critical.</w:t>
      </w:r>
    </w:p>
    <w:p>
      <w:pPr>
        <w:pStyle w:val="Heading2"/>
        <w:spacing w:before="240" w:after="120"/>
      </w:pPr>
      <w:r>
        <w:rPr>
          <w:rFonts w:ascii="Calibri" w:cs="Calibri" w:eastAsia="Calibri" w:hAnsi="Calibri"/>
          <w:b/>
          <w:bCs/>
          <w:color w:val="2E5F8A"/>
          <w:sz w:val="24"/>
          <w:szCs w:val="24"/>
        </w:rPr>
        <w:t xml:space="preserve">4.3 Case Study: Welsh Rugby Union (WRU) — Coach-Player Communication Analysis</w:t>
      </w:r>
    </w:p>
    <w:p>
      <w:pPr>
        <w:spacing w:before="0" w:after="160" w:line="276"/>
        <w:jc w:val="both"/>
      </w:pPr>
      <w:r>
        <w:rPr>
          <w:rFonts w:ascii="Calibri" w:cs="Calibri" w:eastAsia="Calibri" w:hAnsi="Calibri"/>
          <w:sz w:val="22"/>
          <w:szCs w:val="22"/>
        </w:rPr>
        <w:t xml:space="preserve">The WRU application extends the comprehension measurement model to a two-stream architecture: simultaneously analysing the coach's communications and the players' comprehension responses. EchoDepth analyses the coach's spoken delivery — clarity, emotional tone, pacing and instructional structure — to assess how well instructions are framed for comprehension. Concurrently, players' facial responses are monitored for comprehension signals at the moments instructions are delivered.</w:t>
      </w:r>
    </w:p>
    <w:p>
      <w:pPr>
        <w:spacing w:before="0" w:after="160" w:line="276"/>
        <w:jc w:val="both"/>
      </w:pPr>
      <w:r>
        <w:rPr>
          <w:rFonts w:ascii="Calibri" w:cs="Calibri" w:eastAsia="Calibri" w:hAnsi="Calibri"/>
          <w:sz w:val="22"/>
          <w:szCs w:val="22"/>
        </w:rPr>
        <w:t xml:space="preserve">This creates a bidirectional feedback loop: the system identifies not only which players are tracking the message and which are not, but also correlates those responses with specific characteristics of the coach's delivery — enabling targeted re-briefing before session execution and coaching development insights over time.</w:t>
      </w:r>
    </w:p>
    <w:p>
      <w:pPr>
        <w:spacing w:before="0" w:after="160" w:line="276"/>
        <w:jc w:val="both"/>
      </w:pPr>
      <w:r>
        <w:rPr>
          <w:rFonts w:ascii="Calibri" w:cs="Calibri" w:eastAsia="Calibri" w:hAnsi="Calibri"/>
          <w:sz w:val="22"/>
          <w:szCs w:val="22"/>
        </w:rPr>
        <w:t xml:space="preserve">The WRU application demonstrates a principle directly applicable to defence training: understanding the communicator is as important as understanding the learner. In briefing contexts, simulation debriefs and command instruction, the quality of information delivery is as consequential as trainee readiness. Measuring both simultaneously — the transmission and the reception — creates a more complete picture of whether understanding has been achieved.</w:t>
      </w:r>
    </w:p>
    <w:p>
      <w:pPr>
        <w:pStyle w:val="Heading1"/>
        <w:spacing w:before="320" w:after="160"/>
      </w:pPr>
      <w:r>
        <w:rPr>
          <w:rFonts w:ascii="Calibri" w:cs="Calibri" w:eastAsia="Calibri" w:hAnsi="Calibri"/>
          <w:b/>
          <w:bCs/>
          <w:color w:val="1B2A4A"/>
          <w:sz w:val="28"/>
          <w:szCs w:val="28"/>
        </w:rPr>
        <w:t xml:space="preserve">5. Results and Discussion</w:t>
      </w:r>
    </w:p>
    <w:p>
      <w:pPr>
        <w:spacing w:before="0" w:after="160" w:line="276"/>
        <w:jc w:val="both"/>
      </w:pPr>
      <w:r>
        <w:rPr>
          <w:rFonts w:ascii="Calibri" w:cs="Calibri" w:eastAsia="Calibri" w:hAnsi="Calibri"/>
          <w:sz w:val="22"/>
          <w:szCs w:val="22"/>
        </w:rPr>
        <w:t xml:space="preserve">The EchoDepth platform is currently in testing across multiple skills training scenarios. Early observations across these deployments suggest several advantages over traditional assessment approaches.</w:t>
      </w:r>
    </w:p>
    <w:p>
      <w:pPr>
        <w:spacing w:before="0" w:after="160" w:line="276"/>
        <w:jc w:val="both"/>
      </w:pPr>
      <w:r>
        <w:rPr>
          <w:rFonts w:ascii="Calibri" w:cs="Calibri" w:eastAsia="Calibri" w:hAnsi="Calibri"/>
          <w:sz w:val="22"/>
          <w:szCs w:val="22"/>
        </w:rPr>
        <w:t xml:space="preserve">Comprehension signals emerge earlier than traditional assessment captures. Confusion indicators typically appear 3 to 5 minutes before trainees self-report difficulty or fail associated quiz questions. This temporal advantage creates an intervention window that does not exist in post-instruction assessment, enabling instructors to address misunderstanding while the learning loop is still open — before a partial or incorrect model becomes established.</w:t>
      </w:r>
    </w:p>
    <w:p>
      <w:pPr>
        <w:spacing w:before="0" w:after="160" w:line="276"/>
        <w:jc w:val="both"/>
      </w:pPr>
      <w:r>
        <w:rPr>
          <w:rFonts w:ascii="Calibri" w:cs="Calibri" w:eastAsia="Calibri" w:hAnsi="Calibri"/>
          <w:sz w:val="22"/>
          <w:szCs w:val="22"/>
        </w:rPr>
        <w:t xml:space="preserve">Verified engagement monitoring addresses the compliance gap between documented training and genuine attention. The system detects and logs multitasking patterns during mandatory safety instruction, creating a richer audit record. This is particularly relevant for compliance-critical training where demonstrated understanding, rather than documented attendance, carries operational and legal weight.</w:t>
      </w:r>
    </w:p>
    <w:p>
      <w:pPr>
        <w:spacing w:before="0" w:after="160" w:line="276"/>
        <w:jc w:val="both"/>
      </w:pPr>
      <w:r>
        <w:rPr>
          <w:rFonts w:ascii="Calibri" w:cs="Calibri" w:eastAsia="Calibri" w:hAnsi="Calibri"/>
          <w:sz w:val="22"/>
          <w:szCs w:val="22"/>
        </w:rPr>
        <w:t xml:space="preserve">Disengagement patterns provide a content quality signal that traditional systems do not capture. Sustained disengagement — distinct from confusion — flags material that fails to maintain attention. This feeds directly into internal validation processes: rather than waiting for learner feedback surveys or repeat-failure data, course designers receive a signal during deployment that specific content is underperforming. This accelerates the content improvement cycle and aligns with the ongoing assessment objectives within DSAT.</w:t>
      </w:r>
    </w:p>
    <w:p>
      <w:pPr>
        <w:spacing w:before="0" w:after="160" w:line="276"/>
        <w:jc w:val="both"/>
      </w:pPr>
      <w:r>
        <w:rPr>
          <w:rFonts w:ascii="Calibri" w:cs="Calibri" w:eastAsia="Calibri" w:hAnsi="Calibri"/>
          <w:sz w:val="22"/>
          <w:szCs w:val="22"/>
        </w:rPr>
        <w:t xml:space="preserve">Instructor efficiency is enhanced by surfacing struggling learners in real time, enabling targeted human intervention rather than retrospective remediation. The system does not replace instructor judgement; it directs it more effectively.</w:t>
      </w:r>
    </w:p>
    <w:p>
      <w:pPr>
        <w:spacing w:before="0" w:after="160" w:line="276"/>
        <w:jc w:val="both"/>
      </w:pPr>
      <w:r>
        <w:rPr>
          <w:rFonts w:ascii="Calibri" w:cs="Calibri" w:eastAsia="Calibri" w:hAnsi="Calibri"/>
          <w:sz w:val="22"/>
          <w:szCs w:val="22"/>
        </w:rPr>
        <w:t xml:space="preserve">These preliminary findings require comprehensive validation across diverse training contexts, learner populations and operational environments before wider deployment can be recommended. Generalisability across different cultural, demographic and neurodiverse learner populations is a specific area requiring careful attention in the validation programme.</w:t>
      </w:r>
    </w:p>
    <w:p>
      <w:pPr>
        <w:pStyle w:val="Heading1"/>
        <w:spacing w:before="320" w:after="160"/>
      </w:pPr>
      <w:r>
        <w:rPr>
          <w:rFonts w:ascii="Calibri" w:cs="Calibri" w:eastAsia="Calibri" w:hAnsi="Calibri"/>
          <w:b/>
          <w:bCs/>
          <w:color w:val="1B2A4A"/>
          <w:sz w:val="28"/>
          <w:szCs w:val="28"/>
        </w:rPr>
        <w:t xml:space="preserve">6. Ethical Considerations</w:t>
      </w:r>
    </w:p>
    <w:p>
      <w:pPr>
        <w:spacing w:before="0" w:after="160" w:line="276"/>
        <w:jc w:val="both"/>
      </w:pPr>
      <w:r>
        <w:rPr>
          <w:rFonts w:ascii="Calibri" w:cs="Calibri" w:eastAsia="Calibri" w:hAnsi="Calibri"/>
          <w:sz w:val="22"/>
          <w:szCs w:val="22"/>
        </w:rPr>
        <w:t xml:space="preserve">Continuous emotional monitoring in training environments creates obligations that must be addressed through both system design and operational policy. The primary ethical concern in this context is not surveillance risk per se, but the accuracy and maturity of AI judgment when its outputs may influence an individual's audit record, training certification or career. A misclassification that enters a compliance record — a falsely flagged multitasking event, or a concentration expression coded as disengagement — creates a real risk to the learner. This frames the ethical obligations accordingly:</w:t>
      </w:r>
    </w:p>
    <w:p>
      <w:pPr>
        <w:pStyle w:val="ListParagraph"/>
        <w:numPr>
          <w:ilvl w:val="0"/>
          <w:numId w:val="2"/>
        </w:numPr>
        <w:spacing w:before="60" w:after="60" w:line="264"/>
      </w:pPr>
      <w:r>
        <w:rPr>
          <w:rFonts w:ascii="Calibri" w:cs="Calibri" w:eastAsia="Calibri" w:hAnsi="Calibri"/>
          <w:sz w:val="22"/>
          <w:szCs w:val="22"/>
        </w:rPr>
        <w:t xml:space="preserve">Accuracy accountability: the system flags its confidence level for all assessments. Classifications below threshold confidence are excluded from audit records and flagged for human review. No automated enforcement action is taken on any emotionally-derived assessment.</w:t>
      </w:r>
    </w:p>
    <w:p>
      <w:pPr>
        <w:pStyle w:val="ListParagraph"/>
        <w:numPr>
          <w:ilvl w:val="0"/>
          <w:numId w:val="2"/>
        </w:numPr>
        <w:spacing w:before="60" w:after="60" w:line="264"/>
      </w:pPr>
      <w:r>
        <w:rPr>
          <w:rFonts w:ascii="Calibri" w:cs="Calibri" w:eastAsia="Calibri" w:hAnsi="Calibri"/>
          <w:sz w:val="22"/>
          <w:szCs w:val="22"/>
        </w:rPr>
        <w:t xml:space="preserve">Human oversight: all training decisions remain subject to instructor review. The system informs — it does not enforce. Critical compliance determinations require human confirmation.</w:t>
      </w:r>
    </w:p>
    <w:p>
      <w:pPr>
        <w:pStyle w:val="ListParagraph"/>
        <w:numPr>
          <w:ilvl w:val="0"/>
          <w:numId w:val="2"/>
        </w:numPr>
        <w:spacing w:before="60" w:after="60" w:line="264"/>
      </w:pPr>
      <w:r>
        <w:rPr>
          <w:rFonts w:ascii="Calibri" w:cs="Calibri" w:eastAsia="Calibri" w:hAnsi="Calibri"/>
          <w:sz w:val="22"/>
          <w:szCs w:val="22"/>
        </w:rPr>
        <w:t xml:space="preserve">Local processing and data minimisation: all facial analysis runs on-device. No biometric data is stored or transmitted beyond aggregated emotional state classifications. The system records only the emotional indicators directly relevant to comprehension assessment.</w:t>
      </w:r>
    </w:p>
    <w:p>
      <w:pPr>
        <w:pStyle w:val="ListParagraph"/>
        <w:numPr>
          <w:ilvl w:val="0"/>
          <w:numId w:val="2"/>
        </w:numPr>
        <w:spacing w:before="60" w:after="60" w:line="264"/>
      </w:pPr>
      <w:r>
        <w:rPr>
          <w:rFonts w:ascii="Calibri" w:cs="Calibri" w:eastAsia="Calibri" w:hAnsi="Calibri"/>
          <w:sz w:val="22"/>
          <w:szCs w:val="22"/>
        </w:rPr>
        <w:t xml:space="preserve">Transparency: personnel are explicitly informed that emotional monitoring is active, what it measures, and how the data is used for training adaptation and audit compliance.</w:t>
      </w:r>
    </w:p>
    <w:p>
      <w:pPr>
        <w:pStyle w:val="ListParagraph"/>
        <w:numPr>
          <w:ilvl w:val="0"/>
          <w:numId w:val="2"/>
        </w:numPr>
        <w:spacing w:before="60" w:after="60" w:line="264"/>
      </w:pPr>
      <w:r>
        <w:rPr>
          <w:rFonts w:ascii="Calibri" w:cs="Calibri" w:eastAsia="Calibri" w:hAnsi="Calibri"/>
          <w:sz w:val="22"/>
          <w:szCs w:val="22"/>
        </w:rPr>
        <w:t xml:space="preserve">Purpose limitation: emotional assessment data is used exclusively for training optimisation and audit compliance. It cannot be repurposed for performance evaluation, promotion decisions or disciplinary action.</w:t>
      </w:r>
    </w:p>
    <w:p>
      <w:pPr>
        <w:spacing w:before="0" w:after="160" w:line="276"/>
        <w:jc w:val="both"/>
      </w:pPr>
      <w:r>
        <w:rPr>
          <w:rFonts w:ascii="Calibri" w:cs="Calibri" w:eastAsia="Calibri" w:hAnsi="Calibri"/>
          <w:sz w:val="22"/>
          <w:szCs w:val="22"/>
        </w:rPr>
        <w:t xml:space="preserve">A specific consideration for defence contexts is the variability of individual expression patterns and the risk that non-typical expression — including neurodiverse expression patterns, cultural variation in facial communication, or individual baseline differences — could be misclassified. The validation programme must address this explicitly, and operational policy should require human review in any case where an emotionally-derived classification will appear in a formal record.</w:t>
      </w:r>
    </w:p>
    <w:p>
      <w:pPr>
        <w:spacing w:before="0" w:after="160" w:line="276"/>
        <w:jc w:val="both"/>
      </w:pPr>
      <w:r>
        <w:rPr>
          <w:rFonts w:ascii="Calibri" w:cs="Calibri" w:eastAsia="Calibri" w:hAnsi="Calibri"/>
          <w:sz w:val="22"/>
          <w:szCs w:val="22"/>
        </w:rPr>
        <w:t xml:space="preserve">Camera-based monitoring also has practical limits in certain operational environments. The approach is most appropriate for structured learning settings. Special forces contexts, field environments and security-sensitive locations present distinct challenges that would need to be assessed separately.</w:t>
      </w:r>
    </w:p>
    <w:p>
      <w:pPr>
        <w:pStyle w:val="Heading1"/>
        <w:spacing w:before="320" w:after="160"/>
      </w:pPr>
      <w:r>
        <w:rPr>
          <w:rFonts w:ascii="Calibri" w:cs="Calibri" w:eastAsia="Calibri" w:hAnsi="Calibri"/>
          <w:b/>
          <w:bCs/>
          <w:color w:val="1B2A4A"/>
          <w:sz w:val="28"/>
          <w:szCs w:val="28"/>
        </w:rPr>
        <w:t xml:space="preserve">7. Conclusion</w:t>
      </w:r>
    </w:p>
    <w:p>
      <w:pPr>
        <w:spacing w:before="0" w:after="160" w:line="276"/>
        <w:jc w:val="both"/>
      </w:pPr>
      <w:r>
        <w:rPr>
          <w:rFonts w:ascii="Calibri" w:cs="Calibri" w:eastAsia="Calibri" w:hAnsi="Calibri"/>
          <w:sz w:val="22"/>
          <w:szCs w:val="22"/>
        </w:rPr>
        <w:t xml:space="preserve">Traditional training assessment operates on delayed feedback: personnel complete instruction, formal assessment takes place, and gaps in understanding become apparent after the fact. In contexts where procedural errors carry operational consequences, or where mandatory safety training requires verified comprehension rather than documented completion, this temporal gap has real implications.</w:t>
      </w:r>
    </w:p>
    <w:p>
      <w:pPr>
        <w:spacing w:before="0" w:after="160" w:line="276"/>
        <w:jc w:val="both"/>
      </w:pPr>
      <w:r>
        <w:rPr>
          <w:rFonts w:ascii="Calibri" w:cs="Calibri" w:eastAsia="Calibri" w:hAnsi="Calibri"/>
          <w:sz w:val="22"/>
          <w:szCs w:val="22"/>
        </w:rPr>
        <w:t xml:space="preserve">EchoDepth's emotion-based approach alters this timeline by treating facial signals as real-time indicators of comprehension. Confusion, hesitation and cognitive stress appear immediately when trainees encounter material that exceeds their current understanding, enabling intervention while learning is occurring — and before misunderstanding becomes established. The system's verified engagement capability creates a richer audit record for compliance-critical training, addressing the gap between completion certificates and demonstrated understanding.</w:t>
      </w:r>
    </w:p>
    <w:p>
      <w:pPr>
        <w:spacing w:before="0" w:after="160" w:line="276"/>
        <w:jc w:val="both"/>
      </w:pPr>
      <w:r>
        <w:rPr>
          <w:rFonts w:ascii="Calibri" w:cs="Calibri" w:eastAsia="Calibri" w:hAnsi="Calibri"/>
          <w:sz w:val="22"/>
          <w:szCs w:val="22"/>
        </w:rPr>
        <w:t xml:space="preserve">The approach is designed to complement existing defence assessment frameworks — DSAT, the DLE, adaptive learning platforms and instructor observation — rather than replace them. Each existing component contributes something the emotional layer cannot: practical assessment, instructor judgement, formal examination. The emotional layer contributes something those components currently lack: continuous, real-time comprehension monitoring that operates between the moments of formal assessment.</w:t>
      </w:r>
    </w:p>
    <w:p>
      <w:pPr>
        <w:spacing w:before="0" w:after="160" w:line="276"/>
        <w:jc w:val="both"/>
      </w:pPr>
      <w:r>
        <w:rPr>
          <w:rFonts w:ascii="Calibri" w:cs="Calibri" w:eastAsia="Calibri" w:hAnsi="Calibri"/>
          <w:sz w:val="22"/>
          <w:szCs w:val="22"/>
        </w:rPr>
        <w:t xml:space="preserve">The case studies presented — HUMX's avatar-plus-emotion architecture and the WRU's bidirectional communication analysis — demonstrate two distinct applications of the same underlying capability: that genuine understanding can be measured as it forms, not only after it has been tested. The WRU application carries a specific implication for defence: the quality of instruction delivery is as measurable as the quality of learner reception. In environments where the clarity of a command briefing or a safety instruction may determine operational outcomes, measuring both transmission and comprehension simultaneously represents a meaningful capability advance.</w:t>
      </w:r>
    </w:p>
    <w:p>
      <w:pPr>
        <w:spacing w:before="0" w:after="160" w:line="276"/>
        <w:jc w:val="both"/>
      </w:pPr>
      <w:r>
        <w:rPr>
          <w:rFonts w:ascii="Calibri" w:cs="Calibri" w:eastAsia="Calibri" w:hAnsi="Calibri"/>
          <w:sz w:val="22"/>
          <w:szCs w:val="22"/>
        </w:rPr>
        <w:t xml:space="preserve">Validation across diverse learner populations and training domains remains essential, as does careful attention to the ethical obligations of accuracy, transparency and human oversight. The question is not whether emotional signals indicate understanding — early evidence suggests they do — but whether the systems interpreting those signals can be deployed with the accuracy and accountability that individual learners, and defence organisations, have every right to expect.</w:t>
      </w:r>
    </w:p>
    <w:p>
      <w:pPr>
        <w:pStyle w:val="Heading1"/>
        <w:spacing w:before="320" w:after="160"/>
      </w:pPr>
      <w:r>
        <w:rPr>
          <w:rFonts w:ascii="Calibri" w:cs="Calibri" w:eastAsia="Calibri" w:hAnsi="Calibri"/>
          <w:b/>
          <w:bCs/>
          <w:color w:val="1B2A4A"/>
          <w:sz w:val="28"/>
          <w:szCs w:val="28"/>
        </w:rPr>
        <w:t xml:space="preserve">References</w:t>
      </w:r>
    </w:p>
    <w:p>
      <w:pPr>
        <w:spacing w:before="0" w:after="160" w:line="276"/>
        <w:jc w:val="both"/>
      </w:pPr>
      <w:r>
        <w:rPr>
          <w:rFonts w:ascii="Calibri" w:cs="Calibri" w:eastAsia="Calibri" w:hAnsi="Calibri"/>
          <w:sz w:val="22"/>
          <w:szCs w:val="22"/>
        </w:rPr>
        <w:t xml:space="preserve">Ekman, P., &amp; Friesen, W. V. (1978). Facial Action Coding System: A Technique for the Measurement of Facial Movement. Consulting Psychologists Press.</w:t>
      </w:r>
    </w:p>
    <w:p>
      <w:pPr>
        <w:spacing w:before="0" w:after="160" w:line="276"/>
        <w:jc w:val="both"/>
      </w:pPr>
      <w:r>
        <w:rPr>
          <w:rFonts w:ascii="Calibri" w:cs="Calibri" w:eastAsia="Calibri" w:hAnsi="Calibri"/>
          <w:sz w:val="22"/>
          <w:szCs w:val="22"/>
        </w:rPr>
        <w:t xml:space="preserve">D'Mello, S., &amp; Graesser, A. (2012). Dynamics of affective states during complex learning. Learning and Instruction, 22(2), 145-157.</w:t>
      </w:r>
    </w:p>
    <w:p>
      <w:pPr>
        <w:spacing w:before="0" w:after="160" w:line="276"/>
        <w:jc w:val="both"/>
      </w:pPr>
      <w:r>
        <w:rPr>
          <w:rFonts w:ascii="Calibri" w:cs="Calibri" w:eastAsia="Calibri" w:hAnsi="Calibri"/>
          <w:sz w:val="22"/>
          <w:szCs w:val="22"/>
        </w:rPr>
        <w:t xml:space="preserve">Pekrun, R., &amp; Linnenbrink-Garcia, L. (2012). Academic emotions and student engagement. In Handbook of Research on Student Engagement (pp. 259-282). Springer.</w:t>
      </w:r>
    </w:p>
    <w:p>
      <w:pPr>
        <w:spacing w:before="0" w:after="160" w:line="276"/>
        <w:jc w:val="both"/>
      </w:pPr>
      <w:r>
        <w:rPr>
          <w:rFonts w:ascii="Calibri" w:cs="Calibri" w:eastAsia="Calibri" w:hAnsi="Calibri"/>
          <w:sz w:val="22"/>
          <w:szCs w:val="22"/>
        </w:rPr>
        <w:t xml:space="preserve">Baker, R. S., &amp; Ocumpaugh, J. (2015). Interaction-based affect detection in educational software. In The Oxford Handbook of Affective Computing (pp. 233-245). Oxford University Press.</w:t>
      </w:r>
    </w:p>
    <w:p>
      <w:pPr>
        <w:spacing w:before="0" w:after="160" w:line="276"/>
        <w:jc w:val="both"/>
      </w:pPr>
      <w:r>
        <w:rPr>
          <w:rFonts w:ascii="Calibri" w:cs="Calibri" w:eastAsia="Calibri" w:hAnsi="Calibri"/>
          <w:sz w:val="22"/>
          <w:szCs w:val="22"/>
        </w:rPr>
        <w:t xml:space="preserve">Ministry of Defence (2020). Defence Systems Approach to Training (DSAT). Joint Service Publication 822.</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Calibri" w:cs="Calibri" w:eastAsia="Calibri" w:hAnsi="Calibri"/>
      <w:b/>
      <w:bCs/>
      <w:color w:val="1B2A4A"/>
      <w:sz w:val="28"/>
      <w:szCs w:val="28"/>
    </w:rPr>
  </w:style>
  <w:style w:type="paragraph" w:styleId="Heading2">
    <w:name w:val="Heading 2"/>
    <w:basedOn w:val="Normal"/>
    <w:next w:val="Normal"/>
    <w:qFormat/>
    <w:pPr>
      <w:spacing w:before="240" w:after="120"/>
      <w:outlineLvl w:val="1"/>
    </w:pPr>
    <w:rPr>
      <w:rFonts w:ascii="Calibri" w:cs="Calibri" w:eastAsia="Calibri" w:hAnsi="Calibri"/>
      <w:b/>
      <w:bCs/>
      <w:color w:val="2E5F8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2026-02-27T14:04:14.111Z</dcterms:created>
  <dcterms:modified xsi:type="dcterms:W3CDTF">2026-02-27T14:04:14.113Z</dcterms:modified>
</cp:coreProperties>
</file>

<file path=docProps/custom.xml><?xml version="1.0" encoding="utf-8"?>
<Properties xmlns="http://schemas.openxmlformats.org/officeDocument/2006/custom-properties" xmlns:vt="http://schemas.openxmlformats.org/officeDocument/2006/docPropsVTypes"/>
</file>